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1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1238885</wp:posOffset>
            </wp:positionH>
            <wp:positionV relativeFrom="paragraph">
              <wp:posOffset>119380</wp:posOffset>
            </wp:positionV>
            <wp:extent cx="2258695" cy="843915"/>
            <wp:effectExtent l="0" t="0" r="8255" b="0"/>
            <wp:wrapTight wrapText="bothSides">
              <wp:wrapPolygon edited="false">
                <wp:start x="2733" y="975"/>
                <wp:lineTo x="1093" y="3901"/>
                <wp:lineTo x="364" y="6339"/>
                <wp:lineTo x="364" y="15603"/>
                <wp:lineTo x="911" y="17553"/>
                <wp:lineTo x="2368" y="17553"/>
                <wp:lineTo x="2915" y="19503"/>
                <wp:lineTo x="3826" y="19503"/>
                <wp:lineTo x="4372" y="17553"/>
                <wp:lineTo x="21497" y="17553"/>
                <wp:lineTo x="21497" y="13165"/>
                <wp:lineTo x="17307" y="9752"/>
                <wp:lineTo x="20586" y="7314"/>
                <wp:lineTo x="19675" y="3413"/>
                <wp:lineTo x="3826" y="975"/>
                <wp:lineTo x="2733" y="975"/>
              </wp:wrapPolygon>
            </wp:wrapTight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2258695" cy="8439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 w:eastAsia="ru-RU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sz w:val="28"/>
          <w:szCs w:val="28"/>
          <w:lang w:val="en-US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tabs>
          <w:tab w:val="left" w:leader="none" w:pos="7155"/>
        </w:tabs>
        <w:spacing w:lineRule="auto" w:line="276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ab/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__________________ viloyati _______________ </w:t>
      </w:r>
      <w:r>
        <w:rPr>
          <w:rFonts w:ascii="Times New Roman" w:cs="Times New Roman" w:hAnsi="Times New Roman"/>
          <w:sz w:val="28"/>
          <w:szCs w:val="28"/>
          <w:lang w:val="uz-Latn-UZ"/>
        </w:rPr>
        <w:t>shahar/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tumani 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___________-maktabning </w:t>
      </w:r>
      <w:r>
        <w:rPr>
          <w:rFonts w:ascii="Times New Roman" w:cs="Times New Roman" w:hAnsi="Times New Roman"/>
          <w:sz w:val="28"/>
          <w:szCs w:val="28"/>
          <w:lang w:val="en-US"/>
        </w:rPr>
        <w:t>____</w:t>
      </w:r>
      <w:r>
        <w:rPr>
          <w:rFonts w:ascii="Times New Roman" w:cs="Times New Roman" w:hAnsi="Times New Roman"/>
          <w:sz w:val="28"/>
          <w:szCs w:val="28"/>
          <w:lang w:val="uz-Latn-UZ"/>
        </w:rPr>
        <w:t>-sinf o‘quvchisi _______________________________________ning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 2024 – 2025-o‘quv yili uchun _________________ fanidan yakuniy davlat attestatsiyada yozgan ishi</w:t>
      </w:r>
    </w:p>
    <w:p>
      <w:pPr>
        <w:pStyle w:val="style0"/>
        <w:pBdr>
          <w:bottom w:val="single" w:sz="12" w:space="1" w:color="auto"/>
        </w:pBdr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11-SINF DAVLAT VA HUQUQ ASOSLARI  FANIDAN  YAKUNIY DAVLAT  IMTIHON SAVOLLARI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7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-variant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1. (Q-4 ball)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Quyida demokratik tartibot belgilari keltirilgan bo‘lib, ulardan nodemokratik davlat belgilarini ajrating.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1) qonun ustuvor bo‘ladi;  2) hokimiyat vakolatlari bo‘linadi;  3) shaxs iqtisodiy jihatdan erkin bo‘ladi;   4) o‘zgacha fikrlashga qarshi kurashiladi;   5) har qanday muxolifat yo‘q qilinadi; 6) fikrlar xilma-xilligiga keng yo‘l ochib beriladi.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5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2. (Q-4 ball)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Bunday tartibotda davlat idoralari demokratik tamoyillar va qoidalarga rioya etmaydilar. Fuqarolarning huquq va erkinliklari poymol etiladi, qo‘pol ravishda buziladi. Ba’zida esa parlament singari institutlar yo‘q qilinadi.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Yuqorida ta’rifi keltirilgan davlatga mos kelmaydigan ma’lumotni toping.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a) mulkni davlat tasarrufidan chiqarish;   b) qonun o‘rnini qat’iy buyruq va farmoyishlar egallash;  c) har qanday muxolifatni yo‘q qilish;  d) hokimiyat vakolatlarini taqsimlash;  e) boshqa hududlarni bosib olishga intilish.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5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3. (</w:t>
      </w:r>
      <w:r>
        <w:rPr>
          <w:rFonts w:ascii="Times New Roman" w:cs="Times New Roman" w:hAnsi="Times New Roman"/>
          <w:sz w:val="28"/>
          <w:szCs w:val="28"/>
          <w:lang w:val="en-US"/>
        </w:rPr>
        <w:t>Q</w:t>
      </w:r>
      <w:r>
        <w:rPr>
          <w:rFonts w:ascii="Times New Roman" w:cs="Times New Roman" w:hAnsi="Times New Roman"/>
          <w:sz w:val="28"/>
          <w:szCs w:val="28"/>
        </w:rPr>
        <w:t xml:space="preserve">-4 </w:t>
      </w:r>
      <w:r>
        <w:rPr>
          <w:rFonts w:ascii="Times New Roman" w:cs="Times New Roman" w:hAnsi="Times New Roman"/>
          <w:sz w:val="28"/>
          <w:szCs w:val="28"/>
          <w:lang w:val="en-US"/>
        </w:rPr>
        <w:t>ball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  <w:lang w:val="en-US"/>
        </w:rPr>
        <w:t> </w:t>
      </w:r>
      <w:r>
        <w:rPr>
          <w:rFonts w:ascii="Times New Roman" w:cs="Times New Roman" w:eastAsia="Times New Roman" w:hAnsi="Times New Roman"/>
          <w:sz w:val="28"/>
          <w:szCs w:val="28"/>
        </w:rPr>
        <w:t>10-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sinf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Times New Roman" w:hAnsi="Times New Roman"/>
          <w:sz w:val="28"/>
          <w:szCs w:val="28"/>
        </w:rPr>
        <w:t>‘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quvchisi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l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tanaffus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paytida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sinfdoshi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qo</w:t>
      </w:r>
      <w:r>
        <w:rPr>
          <w:rFonts w:ascii="Times New Roman" w:cs="Times New Roman" w:eastAsia="Times New Roman" w:hAnsi="Times New Roman"/>
          <w:sz w:val="28"/>
          <w:szCs w:val="28"/>
        </w:rPr>
        <w:t>‘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telefonini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Times New Roman" w:hAnsi="Times New Roman"/>
          <w:sz w:val="28"/>
          <w:szCs w:val="28"/>
        </w:rPr>
        <w:t>‘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ziga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sezdirmasdan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olib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ichidagi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shaxsiy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yozishmalarini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Times New Roman" w:hAnsi="Times New Roman"/>
          <w:sz w:val="28"/>
          <w:szCs w:val="28"/>
        </w:rPr>
        <w:t>‘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qishdi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Ular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tushlik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olib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bermasa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yozishmalarining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sirlarini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hammaga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oshkor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qo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rqitishdi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vaziyatda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konstitutsiyaviy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erkinligiga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ziyon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yetkazilganligini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shaxsiy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huquqlari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2)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iqtisodiy huquqlari;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3) siyosiy huquqlari;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4) madaniy huquqlari.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5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 xml:space="preserve"> (Q- 4 ball)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Fuqarolarning Konstitutsiyaviy huquq va erkinliklari o‘rtasidagi muvofiqlikni aniqlang: birinchi ustunda berilgan har bir huquqlarga ikkinchi ustundan mos keluvchi vaziyatlarni tanlang.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Har biriga bir nechta javob to‘g‘ri kelishi mumkin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2"/>
        <w:gridCol w:w="6172"/>
      </w:tblGrid>
      <w:tr>
        <w:trPr>
          <w:trHeight w:val="2236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1.Shaxsiy huquq va erkinliklar;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2. Siyosiy huquqlar.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a) fuqaro sudga ariza bilan murojaat qildi;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b) yangi xodim kasaba uyushmasiga a’zo bo‘ldi;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c) fuqaro yangi moshina sotib oldi;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d) ayblanuvchi yuridik yordam oldi;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e) shaxs o‘zi haqidagi noto‘g‘ri ma’lumotni tuzatishni talab qildi.</w:t>
            </w:r>
          </w:p>
        </w:tc>
      </w:tr>
      <w:bookmarkStart w:id="0" w:name="_Hlk195083893"/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Javob: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61"/>
        <w:gridCol w:w="780"/>
        <w:gridCol w:w="765"/>
        <w:gridCol w:w="765"/>
      </w:tblGrid>
      <w:tr>
        <w:trPr>
          <w:trHeight w:val="257" w:hRule="atLeast"/>
        </w:trPr>
        <w:tc>
          <w:tcPr>
            <w:tcW w:w="1541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>
        <w:tblPrEx/>
        <w:trPr>
          <w:trHeight w:val="257" w:hRule="atLeast"/>
        </w:trPr>
        <w:tc>
          <w:tcPr>
            <w:tcW w:w="76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257" w:hRule="atLeast"/>
        </w:trPr>
        <w:tc>
          <w:tcPr>
            <w:tcW w:w="3071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  <w:bookmarkEnd w:id="0"/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5.(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-4 </w:t>
      </w:r>
      <w:r>
        <w:rPr>
          <w:rFonts w:ascii="Times New Roman" w:cs="Times New Roman" w:hAnsi="Times New Roman"/>
          <w:sz w:val="28"/>
          <w:szCs w:val="28"/>
          <w:lang w:val="en-US"/>
        </w:rPr>
        <w:t>ball</w:t>
      </w:r>
      <w:r>
        <w:rPr>
          <w:rFonts w:ascii="Times New Roman" w:cs="Times New Roman" w:hAnsi="Times New Roman"/>
          <w:sz w:val="28"/>
          <w:szCs w:val="28"/>
          <w:lang w:val="en-US"/>
        </w:rPr>
        <w:t>)</w:t>
      </w:r>
      <w:r>
        <w:rPr>
          <w:rFonts w:ascii="Times New Roman" w:cs="Times New Roman" w:hAnsi="Times New Roman"/>
          <w:sz w:val="28"/>
          <w:szCs w:val="28"/>
          <w:lang w:val="en-US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Oila kodeksining 57-moddasida belgilangan meʼyor bo‘yicha nevara bobosi va buvisiga nisbatan nechanchi darajadagi qarindosh hisoblanadi?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1) birinchi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2) uchinchi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3) to‘rtinchi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4) ikkinchi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5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6. (Q-4 ball) Quyidagi vaziyatni to‘g‘ri yechimini tanlang.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231"/>
      </w:tblGrid>
      <w:tr>
        <w:trPr>
          <w:trHeight w:val="4355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94"/>
              <w:spacing w:after="0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Sevara va Jahongir bir-birini yaxshi ko‘rib, turmush qurishga qaror qilishdi. Biroq Sevaraning onasi bunga keskin qarshilik bildirdi, chunki</w:t>
            </w:r>
            <w:r>
              <w:rPr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Jahongirning daromadi yaxshi emas edi. </w:t>
            </w:r>
            <w:r>
              <w:rPr>
                <w:color w:val="000000"/>
                <w:sz w:val="28"/>
                <w:szCs w:val="28"/>
                <w:lang w:val="en-US"/>
              </w:rPr>
              <w:t>Ushbu vaziyatda nikoh tuzish uchun ota-onaning roziligi shartmi?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a) ha, agar ota-ona rozi bo‘lmasa, nikoh tuzilmaydi;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b) yo‘q, agar tomonlar qonuniy nikoh yoshiga yetgan bo‘lsa, ota-onaning roziligisiz ham nikoh tuzilishi mumkin;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c) ota-onaning roziligi faqat ayol kishilar uchun majburiy, erkaklar esa mustaqil qaror qabul qiladi;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 xml:space="preserve">d) nikoh er va xotin o‘rtasida tuziladigan, o‘zaro hurmat, muhabbat va ishonchga asoslangan ixtiyoriy kelishuvdir.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Nikoh mustaqil ravishda, hech qanday majburlashsiz tuzilishi lozim.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5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(B-4 ball) </w:t>
      </w:r>
      <w:r>
        <w:rPr>
          <w:rFonts w:ascii="Times New Roman" w:cs="Times New Roman" w:hAnsi="Times New Roman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sz w:val="28"/>
          <w:szCs w:val="28"/>
        </w:rPr>
        <w:t>Quyidagi ta’rifni o‘qing, gap kim haqida ketayotganligini aniqlang.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“U muomalaga layoqatsiz fuqaro nomidan bitimlarni amalga oshiradi”.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a) homiy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b) ota-ona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c) yaqin qarindosh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d) vasiy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5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</w:trPr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8. (Q-4 ball)  </w:t>
      </w:r>
      <w:bookmarkStart w:id="1" w:name="_Hlk195084065"/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Bobur o‘z nomidan kichik biznes ochdi va maishiy texnika sotishni boshladi. U mijozlarga o‘z mahsulotlarini “100% sifatli va 5 yil kafolatli” deb reklama qiladi. Biroq, xaridorlardan biri sotib olgan muzlatkichi 6 oydan keyin buzilib qolganini bildiradi. Bobur muzlatkichni ta’mirlab, almashtirib berishdan bosh tortdi va  kafolat bermasligini aytadi.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Boburning yuridik majburiyatlarini (A)  va xaridorning subyektiv huquqlarini (B)  guruhlarga ajrating. Har biriga bir nechta javob to‘g‘ri kelishi mumkin.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1) “100% sifatli va 5 yil kafolatli” reklamasi;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2) sifatli mahsulotlarni iste’molchilarga yetkazib berishi;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3) muzlatkich xarid qilish;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4) muzlatkichni almashtirib yoki ta’mirlatib olishi;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5) taʼmirlab, tuzatib berish.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Javob:</w:t>
      </w:r>
    </w:p>
    <w:bookmarkEnd w:id="1"/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761"/>
        <w:gridCol w:w="780"/>
        <w:gridCol w:w="765"/>
        <w:gridCol w:w="765"/>
      </w:tblGrid>
      <w:tr>
        <w:trPr>
          <w:trHeight w:val="257" w:hRule="atLeast"/>
        </w:trPr>
        <w:tc>
          <w:tcPr>
            <w:tcW w:w="1541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>
        <w:tblPrEx/>
        <w:trPr>
          <w:trHeight w:val="257" w:hRule="atLeast"/>
        </w:trPr>
        <w:tc>
          <w:tcPr>
            <w:tcW w:w="76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>
          <w:trHeight w:val="257" w:hRule="atLeast"/>
        </w:trPr>
        <w:tc>
          <w:tcPr>
            <w:tcW w:w="3071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 (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</w:rPr>
        <w:t xml:space="preserve">-4 </w:t>
      </w:r>
      <w:r>
        <w:rPr>
          <w:rFonts w:ascii="Times New Roman" w:cs="Times New Roman" w:hAnsi="Times New Roman"/>
          <w:sz w:val="28"/>
          <w:szCs w:val="28"/>
          <w:lang w:val="en-US"/>
        </w:rPr>
        <w:t>ball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</w:rPr>
        <w:t>Quyidagi ta’rifni o‘qing, gap nima haqida ketayotganligini aniqlang.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“___________________-xavfsizlik kengashining doimiy a’zolaridan birining ma’lum masala yuzasidan chiqarishi mumkin bo‘lgan qarorga qarshi ovoz berish”.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1) xalqaro odat huquqi;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2) sanksiya;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3) jamoaviy xavfsizlik;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4) himoyalanish huquqi;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5) veto huquqi.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5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</w:trPr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10.(Q-4 ball)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Maktabda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olalar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darsdan keyin tug‘ma qobiliyatlarini namoyon qilish uchun turli xil to‘garaklar tashkil etilgan.Ayniqsa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notiqlik to‘garagida o‘quvchilar o‘z fikrlarini erkin tarzda ifodalashni o‘rganishmoqda.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Ushbu vaziyatda o‘quvchilar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Bola huquqlari to‘g‘risidagi Konvensiyada belgilangan qanday turkumdagi huquqlardan foydalanishmoqda?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1) yashash huquq;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2) o‘sib ulg‘ayish huquqi;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3) himoya qilinish huquqi;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4) ishtirok etish huquqi.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5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</w:trPr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11.(Q-4 ball)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Korxonada mehnat qilayotgan 15 –16 yoshli xodim (1)  va shu korxonada ishlayotgan 16 –18 yoshli xodimlarga (2) oid mehnat qonunchiligidagi  ma’lumotlarni aniqlang.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a) ishga joylashayotganda mahalla raisi tavsiyanoma berishi talab etiladi;  b) ish vaqti haftasiga 36 soatdan oshmasligi kerak;   c) aravacha va vagonetka yordamida yuk tashishlariga ruxsat etiladi;  d) ish vaqti haftasiga 24 soatdan oshmasligi kerak;  e) ish vaqti haftasiga 40 soatdan oshmasligi kerak.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134"/>
      </w:tblGrid>
      <w:tr>
        <w:trPr>
          <w:trHeight w:val="23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</w:tr>
      <w:tr>
        <w:tblPrEx/>
        <w:trPr>
          <w:trHeight w:val="489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89" w:hRule="atLeast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12.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(Q-4 ball) 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“Avto Tech” MCHJ kompaniyasi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 R. ismli xodim ishga kirishda mehnat shartnomasi tuzilgan. Oradan bir necha oy o‘tib, ish beruvchi ish haqini oldindan ogohlantirmasdan kamaytirdi. R. buni noqonuniy deb hisoblab, mehnat shartnomasiga muvofiq to‘lov talab qildi.</w:t>
      </w:r>
    </w:p>
    <w:p>
      <w:pPr>
        <w:pStyle w:val="style0"/>
        <w:spacing w:after="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R. bilan tuzilgan mehnat shartnomasining qaysi bandlari noto‘g‘ri ekanligini aniqlang.</w:t>
      </w:r>
    </w:p>
    <w:p>
      <w:pPr>
        <w:pStyle w:val="style0"/>
        <w:spacing w:after="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1) mehnat shartnomasida R. ning muayyan kasb, mutaxassislik bo‘yicha ishlashi belgilangan;</w:t>
      </w:r>
    </w:p>
    <w:p>
      <w:pPr>
        <w:pStyle w:val="style0"/>
        <w:spacing w:after="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2) mehnat shartnomasida ish beruvchi istagan paytida R. ning  ish haqini o‘zgartirishi mumkinligi belgilangan;</w:t>
      </w:r>
    </w:p>
    <w:p>
      <w:pPr>
        <w:pStyle w:val="style0"/>
        <w:spacing w:after="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3) mehnat shartnomasida R. ning ishga kirish sanasi belgilangan;</w:t>
      </w:r>
    </w:p>
    <w:p>
      <w:pPr>
        <w:pStyle w:val="style0"/>
        <w:spacing w:after="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4) mehnat shartnomasida R. ning mehnatiga haq to‘lash shartlari belgilangan;</w:t>
      </w:r>
    </w:p>
    <w:p>
      <w:pPr>
        <w:pStyle w:val="style0"/>
        <w:spacing w:after="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5) mehnat shartnomasida ish beruvchining ko‘rsatmasi bilan R.ning  bepul ishlashi majburiyligi belgilangan.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934"/>
        <w:gridCol w:w="933"/>
        <w:gridCol w:w="934"/>
        <w:gridCol w:w="932"/>
        <w:gridCol w:w="933"/>
        <w:gridCol w:w="932"/>
        <w:gridCol w:w="933"/>
        <w:gridCol w:w="932"/>
        <w:gridCol w:w="933"/>
      </w:tblGrid>
      <w:tr>
        <w:trPr/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</w:trPr>
        <w:tc>
          <w:tcPr>
            <w:tcW w:w="10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ind w:left="-709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ind w:left="-709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13. (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-4 </w:t>
      </w:r>
      <w:r>
        <w:rPr>
          <w:rFonts w:ascii="Times New Roman" w:cs="Times New Roman" w:hAnsi="Times New Roman"/>
          <w:sz w:val="28"/>
          <w:szCs w:val="28"/>
          <w:lang w:val="en-US"/>
        </w:rPr>
        <w:t>ball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Quyidagilardan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biri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’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muriy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jazoning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maqsadiga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kirmaydi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?</w:t>
      </w:r>
    </w:p>
    <w:p>
      <w:pPr>
        <w:pStyle w:val="style0"/>
        <w:ind w:left="-709"/>
        <w:rPr>
          <w:rFonts w:eastAsia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shaxsni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qonunlarga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rioya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etish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ularni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hurmat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ruhida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tarbiyalash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;</w:t>
      </w:r>
    </w:p>
    <w:p>
      <w:pPr>
        <w:pStyle w:val="style0"/>
        <w:ind w:left="-709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2) huquqbuzarga  qattiq jazolarni qo‘llash orqali jazolash;</w:t>
      </w:r>
    </w:p>
    <w:p>
      <w:pPr>
        <w:pStyle w:val="style0"/>
        <w:ind w:left="-709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3) yangi huquqbuzarlik sodir etilishining oldini olish;</w:t>
      </w:r>
    </w:p>
    <w:p>
      <w:pPr>
        <w:pStyle w:val="style0"/>
        <w:ind w:left="-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4) qonun ustuvorligini ta’minlash.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34"/>
        <w:gridCol w:w="933"/>
        <w:gridCol w:w="934"/>
        <w:gridCol w:w="932"/>
        <w:gridCol w:w="933"/>
        <w:gridCol w:w="932"/>
        <w:gridCol w:w="933"/>
        <w:gridCol w:w="932"/>
        <w:gridCol w:w="933"/>
      </w:tblGrid>
      <w:tr>
        <w:trPr/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14. (Q-4 ball)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Quyidagi harakatlarni ko‘rib chiqib, ulardan qaysi biri ma’muriy huquqbuzarlik ekanligini aniqlang:</w:t>
      </w:r>
    </w:p>
    <w:p>
      <w:pPr>
        <w:pStyle w:val="style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1.Haydovchi piyodalar o‘tish joyida to‘xtamay, tezligini oshirib o‘tdi. 2. O‘spirin o‘quvchi jamoat transportidan foydalanish qoidalariga amal qilmadi. 3. Fuqaro do‘kon eshigi oldida turgan begona odamning sumkasiga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qa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ddan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shikast yetkazdi. 4. Talaba tungi vaqtda parkda baland ovozda qo‘shiq kuyladi. 5. Keksalar uchun ajratilgan o‘rindiqda yosh fuqaro o‘tirib, joy bermadi.6. Fuqaro qo‘shnisi bilan janjallashib qolib, unga qasddan shikast yetkazdi.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934"/>
        <w:gridCol w:w="933"/>
        <w:gridCol w:w="934"/>
        <w:gridCol w:w="932"/>
        <w:gridCol w:w="933"/>
        <w:gridCol w:w="932"/>
        <w:gridCol w:w="933"/>
        <w:gridCol w:w="932"/>
        <w:gridCol w:w="933"/>
      </w:tblGrid>
      <w:tr>
        <w:trPr/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15. (Q- 4 ball)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Fuqaro M. internet orqali odamlar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firibgarlik yo‘li bilan katta miqdorda pul olgan. Ushbu holat bo‘yicha huquqni muhofaza qilish organlari tomonidan tergov harakatlari boshlangan. Vaziyatni  tahlil qilib,  to‘g‘ri javobni aniqlang.</w:t>
      </w:r>
    </w:p>
    <w:p>
      <w:pPr>
        <w:pStyle w:val="style0"/>
        <w:spacing w:after="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1) jinoyatning subyekti – 18 yoshga to‘lgan shaxs;</w:t>
      </w:r>
    </w:p>
    <w:p>
      <w:pPr>
        <w:pStyle w:val="style0"/>
        <w:spacing w:after="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2)  jinoyatning obyekti – o‘zganing mulki:</w:t>
      </w:r>
    </w:p>
    <w:p>
      <w:pPr>
        <w:pStyle w:val="style0"/>
        <w:spacing w:after="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3) subyektiv tomondan – beparvolik orqali sodir etilgan;</w:t>
      </w:r>
    </w:p>
    <w:p>
      <w:pPr>
        <w:pStyle w:val="style0"/>
        <w:spacing w:after="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4) obyektiv tomondan – aldash yoki ishonchni suiiste’mol qilish yo‘li bilan o‘zganing mulkini axborot tizimidan, shu jumladan axborot texnologiyalaridan foydalanib sodir etishda ifodalanadi;</w:t>
      </w:r>
    </w:p>
    <w:p>
      <w:pPr>
        <w:pStyle w:val="style0"/>
        <w:spacing w:after="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5) jinoyatning subyekti – 16 yoshga to‘lgan aqli raso jismoniy shaxs;</w:t>
      </w:r>
    </w:p>
    <w:p>
      <w:pPr>
        <w:pStyle w:val="style0"/>
        <w:spacing w:after="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6) obyektiv tomondan – o‘zganing mol-mulkini ochiqdan-ochiq talon-toroj qilishda ifodalanadi;</w:t>
      </w:r>
    </w:p>
    <w:p>
      <w:pPr>
        <w:pStyle w:val="style0"/>
        <w:spacing w:after="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7) subyektiv tomondan – to‘g‘ri qasd bilan sodir etilgan.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934"/>
        <w:gridCol w:w="933"/>
        <w:gridCol w:w="934"/>
        <w:gridCol w:w="932"/>
        <w:gridCol w:w="933"/>
        <w:gridCol w:w="932"/>
        <w:gridCol w:w="933"/>
        <w:gridCol w:w="932"/>
        <w:gridCol w:w="933"/>
      </w:tblGrid>
      <w:tr>
        <w:trPr/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-56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. (Q-4 ball) </w:t>
      </w:r>
      <w:r>
        <w:rPr>
          <w:rFonts w:ascii="Times New Roman" w:cs="Times New Roman" w:eastAsia="Times New Roman" w:hAnsi="Times New Roman"/>
          <w:sz w:val="28"/>
          <w:szCs w:val="28"/>
        </w:rPr>
        <w:t>Quyidagi jinoyat huquqi bilan bog‘liq ma’lumotlarni tahlil qilib, faqat to‘g‘rilarini aniqlang.</w:t>
      </w:r>
    </w:p>
    <w:p>
      <w:pPr>
        <w:pStyle w:val="style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1. Jinoyat tarkibi tuzilishi bo‘yicha to‘rt elementdan iborat: obyekt, obyektiv tomon, subyekt va subyektiv tomon.</w:t>
      </w:r>
    </w:p>
    <w:p>
      <w:pPr>
        <w:pStyle w:val="style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2. Jinoyat subyekti bo‘lish uchun qonunchilikda aniq belgilangan talablar ko‘rsatilmagan.</w:t>
      </w:r>
    </w:p>
    <w:p>
      <w:pPr>
        <w:pStyle w:val="style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3.Inson hayotiga suiqasd qilish jinoyatining subyektiv tomoni insonning hayoti va sog‘lig‘i kiradi.</w:t>
      </w:r>
    </w:p>
    <w:p>
      <w:pPr>
        <w:pStyle w:val="style0"/>
        <w:ind w:left="-567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4. Qasddan odam o‘ldirishda jinoyatining obyekti boshqa shaxsning hayoti, o‘g‘rilik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jinoyati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da esa o‘zgalar mulki bo‘ladi.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934"/>
        <w:gridCol w:w="933"/>
        <w:gridCol w:w="934"/>
        <w:gridCol w:w="932"/>
        <w:gridCol w:w="933"/>
        <w:gridCol w:w="932"/>
        <w:gridCol w:w="933"/>
        <w:gridCol w:w="932"/>
        <w:gridCol w:w="933"/>
      </w:tblGrid>
      <w:tr>
        <w:trPr/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-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17. (B-4 ball) </w:t>
      </w:r>
      <w:r>
        <w:rPr>
          <w:rFonts w:ascii="Times New Roman" w:cs="Times New Roman" w:hAnsi="Times New Roman"/>
          <w:sz w:val="28"/>
          <w:szCs w:val="28"/>
          <w:lang w:val="en-US"/>
        </w:rPr>
        <w:t>T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abiiy resurslardan foydalanish va atrof-muhitni ifloslantirish uchun to‘lovlar qo‘llanilishi qanday javobgarlik chorasi hisoblanadi?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1) ekologik-ijtimoiy javobgarlik;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-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  <w:t>2) ekologik-iqtisodiy javobgarlik;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-426" w:hanging="141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3) ekologik-huquqiy javobgarlik.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34"/>
        <w:gridCol w:w="933"/>
        <w:gridCol w:w="934"/>
        <w:gridCol w:w="932"/>
        <w:gridCol w:w="933"/>
        <w:gridCol w:w="932"/>
        <w:gridCol w:w="933"/>
        <w:gridCol w:w="932"/>
        <w:gridCol w:w="933"/>
      </w:tblGrid>
      <w:tr>
        <w:trPr/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85" w:hRule="atLeast"/>
        </w:trPr>
        <w:tc>
          <w:tcPr>
            <w:tcW w:w="9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2-Bo‘lim to‘liq yechim keltirilgan yozma qism.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sz w:val="28"/>
          <w:szCs w:val="28"/>
          <w:lang w:val="en-US"/>
        </w:rPr>
        <w:t>8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(Q-10 ball)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Davlatlarning tuzilish shakliga ko‘ra </w:t>
      </w:r>
    </w:p>
    <w:p>
      <w:pPr>
        <w:pStyle w:val="style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- guruhlarga ajrating;</w:t>
      </w:r>
    </w:p>
    <w:p>
      <w:pPr>
        <w:pStyle w:val="style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- belgilarini yozing; </w:t>
      </w:r>
    </w:p>
    <w:p>
      <w:pPr>
        <w:pStyle w:val="style0"/>
        <w:ind w:left="-426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- misollar keltiring.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>
        <w:trPr>
          <w:trHeight w:val="385" w:hRule="atLeast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19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(Q-10 ball)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O‘zbekiston Respublikasi Oliy Majlisi Qonunchilik palatasi va Senatining mutlaq vakolatlaridan 5 tasini Konstitutsiya normalariga asoslanib ajrating.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/>
              </w:rPr>
              <w:t>O‘zbekiston Respublikasi Oliy Majlisining Qonunchilik palatasi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94"/>
              <w:spacing w:after="0"/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O‘zbekiston Respublikasi Oliy Majlisining Senati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/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1.</w:t>
            </w:r>
          </w:p>
        </w:tc>
      </w:tr>
      <w:tr>
        <w:tblPrEx/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2.</w:t>
            </w:r>
          </w:p>
        </w:tc>
      </w:tr>
      <w:tr>
        <w:tblPrEx/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3.</w:t>
            </w:r>
          </w:p>
        </w:tc>
      </w:tr>
      <w:tr>
        <w:tblPrEx/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4.</w:t>
            </w:r>
          </w:p>
        </w:tc>
      </w:tr>
      <w:tr>
        <w:tblPrEx/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5.</w:t>
            </w:r>
          </w:p>
        </w:tc>
      </w:tr>
      <w:tr>
        <w:tblPrEx/>
        <w:trPr>
          <w:trHeight w:val="351" w:hRule="atLeast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</w:t>
      </w:r>
      <w:r>
        <w:rPr>
          <w:rFonts w:ascii="Times New Roman" w:cs="Times New Roman" w:hAnsi="Times New Roman"/>
          <w:sz w:val="28"/>
          <w:szCs w:val="28"/>
          <w:lang w:val="en-US"/>
        </w:rPr>
        <w:t>. (</w:t>
      </w:r>
      <w:r>
        <w:rPr>
          <w:rFonts w:ascii="Times New Roman" w:cs="Times New Roman" w:hAnsi="Times New Roman"/>
          <w:sz w:val="28"/>
          <w:szCs w:val="28"/>
          <w:lang w:val="en-US"/>
        </w:rPr>
        <w:t>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-12 </w:t>
      </w:r>
      <w:r>
        <w:rPr>
          <w:rFonts w:ascii="Times New Roman" w:cs="Times New Roman" w:hAnsi="Times New Roman"/>
          <w:sz w:val="28"/>
          <w:szCs w:val="28"/>
          <w:lang w:val="en-US"/>
        </w:rPr>
        <w:t>ball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9-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sinf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ʻ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quvchisi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sut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zavodiga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yuk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tashuvch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qilib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ishga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qabul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qilindi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Sutli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qutini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ortish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vaqtida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toyib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ketdi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yiqilib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tushdi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natijada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shishalarning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ко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sindi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Sut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zavodi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ʼ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muriyati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yetkazilgan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zarar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qiymatini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ish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haqidan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ushlab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qoldi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ota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onasi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pullarni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qaytarishni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hamda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unga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ishdan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bo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ʻ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shatilganligi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to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ʻ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ʻ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risidagi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buyruq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dan ko‘chirma va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mehnat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daftarchasini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berishni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talab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qilishdi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Xodiml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bo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ʻ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limi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ish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yurituvchisi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ning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ota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onasi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qo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‘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ygan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talabni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bajarmay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voyaga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yetmaganlarga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mehnat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daftarchasi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tutilmasligini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tushuntirdi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Savol: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Voyaga yetmaganlar qanday hollarda yetkazilgan zararni qoplashadi?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A. ga ishdan boʻshatilganligi toʻgʻrisidagi buyru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qdan koʻchirma beriladimi?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Korxonada necha kun ishlagan xodimga mehnat daftarchasi tutiladi?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Javoblaringiz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ni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qonunlar bilan asoslang.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cs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>
        <w:trPr>
          <w:trHeight w:val="385" w:hRule="atLeast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Jami ball:__________________________________________________________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Ko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mis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s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iya raisi:____________________________________________________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Imtihon oluvchi:____________________________________________________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Assistent:__________________________________________________________</w:t>
      </w:r>
    </w:p>
    <w:sectPr>
      <w:headerReference w:type="default" r:id="rId3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ascii="Times New Roman" w:hAnsi="Times New Roman"/>
        <w:sz w:val="32"/>
        <w:szCs w:val="3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false" relativeHeight="3" behindDoc="true" locked="false" layoutInCell="true" allowOverlap="true">
              <wp:simplePos x="0" y="0"/>
              <wp:positionH relativeFrom="margin">
                <wp:posOffset>3977640</wp:posOffset>
              </wp:positionH>
              <wp:positionV relativeFrom="page">
                <wp:posOffset>457200</wp:posOffset>
              </wp:positionV>
              <wp:extent cx="1943735" cy="1676400"/>
              <wp:effectExtent l="0" t="0" r="0" b="0"/>
              <wp:wrapSquare wrapText="bothSides"/>
              <wp:docPr id="4097" name="Прямоугольник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3735" cy="16764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ed="f" stroked="t" style="position:absolute;margin-left:313.2pt;margin-top:36.0pt;width:153.05pt;height:132.0pt;z-index:-2147483644;mso-position-horizontal-relative:margin;mso-position-vertical-relative:page;mso-width-percent:0;mso-height-percent:0;mso-width-relative:margin;mso-height-relative:margin;visibility:visible;">
              <v:stroke dashstyle="dashdot" joinstyle="miter" weight="1.0pt"/>
              <w10:wrap type="square"/>
              <v:fill/>
            </v:rect>
          </w:pict>
        </mc:Fallback>
      </mc:AlternateContent>
    </w:r>
    <w:r>
      <w:rPr>
        <w:rFonts w:ascii="Times New Roman" w:hAnsi="Times New Roman"/>
        <w:sz w:val="32"/>
        <w:szCs w:val="32"/>
      </w:rPr>
      <w:t>Shifr_________</w:t>
    </w:r>
    <w:r>
      <w:rPr>
        <w:rFonts w:ascii="Times New Roman" w:hAnsi="Times New Roman"/>
        <w:sz w:val="32"/>
        <w:szCs w:val="32"/>
      </w:rPr>
      <w:tab/>
    </w:r>
  </w:p>
  <w:p>
    <w:pPr>
      <w:pStyle w:val="style31"/>
      <w:rPr/>
    </w:pPr>
    <w:r>
      <w:rPr>
        <w:noProof/>
        <w:lang w:eastAsia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4739640</wp:posOffset>
              </wp:positionH>
              <wp:positionV relativeFrom="paragraph">
                <wp:posOffset>17780</wp:posOffset>
              </wp:positionV>
              <wp:extent cx="562609" cy="1045844"/>
              <wp:effectExtent l="571500" t="0" r="602615" b="0"/>
              <wp:wrapNone/>
              <wp:docPr id="4098" name="Надпись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25936">
                        <a:off x="0" y="0"/>
                        <a:ext cx="562609" cy="1045844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31"/>
                            <w:jc w:val="center"/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  <w:t>shtamp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ed="f" stroked="f" style="position:absolute;margin-left:373.2pt;margin-top:1.4pt;width:44.3pt;height:82.35pt;z-index:2;mso-position-horizontal-relative:text;mso-position-vertical-relative:text;mso-width-percent:0;mso-height-percent:0;mso-width-relative:page;mso-height-relative:page;mso-wrap-distance-left:0.0pt;mso-wrap-distance-right:0.0pt;visibility:visible;mso-wrap-style:none;rotation:-3211264fd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31"/>
                      <w:jc w:val="center"/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CAA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54E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A405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4"/>
        <w:szCs w:val="24"/>
        <w:lang w:val="ru-RU" w:bidi="ar-SA" w:eastAsia="en-US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10">
    <w:name w:val="Default"/>
    <w:next w:val="style4110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kern w:val="0"/>
    </w:rPr>
  </w:style>
  <w:style w:type="paragraph" w:styleId="style31">
    <w:name w:val="header"/>
    <w:basedOn w:val="style0"/>
    <w:next w:val="style31"/>
    <w:link w:val="style411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11">
    <w:name w:val="Верхний колонтитул Знак"/>
    <w:basedOn w:val="style65"/>
    <w:next w:val="style4111"/>
    <w:link w:val="style31"/>
    <w:uiPriority w:val="99"/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12">
    <w:name w:val="Нижний колонтитул Знак"/>
    <w:basedOn w:val="style65"/>
    <w:next w:val="style4112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1302</Words>
  <Pages>11</Pages>
  <Characters>11847</Characters>
  <Application>WPS Office</Application>
  <DocSecurity>0</DocSecurity>
  <Paragraphs>431</Paragraphs>
  <ScaleCrop>false</ScaleCrop>
  <LinksUpToDate>false</LinksUpToDate>
  <CharactersWithSpaces>13042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2025-06-09T10:38:00Z</dcterms:created>
  <dc:creator>Markaz 01</dc:creator>
  <lastModifiedBy>2209116AG</lastModifiedBy>
  <lastPrinted>2025-04-09T05:58:00Z</lastPrinted>
  <dcterms:modified xsi:type="dcterms:W3CDTF">2025-06-09T14:04:34Z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c4e4f2a03e7c4bfe88a49f9e7bf8f67e</vt:lpwstr>
  </property>
</Properties>
</file>